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55" w:rsidRPr="00787BF1" w:rsidRDefault="00301255" w:rsidP="00301255">
      <w:pPr>
        <w:pStyle w:val="Heading2"/>
        <w:rPr>
          <w:lang w:val="vi-VN"/>
        </w:rPr>
      </w:pPr>
      <w:bookmarkStart w:id="0" w:name="_Toc155342957"/>
      <w:bookmarkStart w:id="1" w:name="_GoBack"/>
      <w:r w:rsidRPr="00787BF1">
        <w:rPr>
          <w:b/>
          <w:sz w:val="24"/>
          <w:lang w:val="vi-VN"/>
        </w:rPr>
        <w:t>279. TỐNG ĐẠT TRONG TỐ TỤNG DÂN SỰ</w:t>
      </w:r>
      <w:bookmarkEnd w:id="1"/>
      <w:r w:rsidRPr="00787BF1">
        <w:rPr>
          <w:lang w:val="vi-VN"/>
        </w:rPr>
        <w:t>, hoạt động tố tụng của cá nhân, cơ quan, tổ chức có thẩm quyền thực hiện việc chuyển giao các văn bản tố tụng dân sự cho cá nhân, cơ quan, tổ chức có liên quan đến vụ việc dân sự, thi hành án dân sự thông qua các hình thức do pháp luật quy định cho dù họ đồng ý hoặc không đồng ý nhận nhưng phải đảm bảo thực hiện được việc giao văn bản đến chủ thể nhận văn bản để buộc họ thực hiện các quyền và nghĩa vụ tố tụng dân sự.</w:t>
      </w:r>
      <w:bookmarkEnd w:id="0"/>
      <w:r w:rsidRPr="00787BF1">
        <w:rPr>
          <w:lang w:val="vi-VN"/>
        </w:rPr>
        <w:t xml:space="preserve"> </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rPr>
        <w:t xml:space="preserve">Ở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nước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thống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lang w:val="vi-VN"/>
        </w:rPr>
        <w:t xml:space="preserve"> hay các nước theo truyền thống pháp luật án lệ đều quy định về việc tống đạt hợp lệ nhằm đảm bảo một quy trình tố tụng công bằng. Theo đó, các cơ quan có thẩm quyền đảm bảo cho các bên nhận được hoặc biết được nội dung của văn bản tố tụng để họ có cơ hội tham gia vào quá trình tố tụng, thực hiện các quyền và nghĩa vụ tố tụng để bảo vệ quyền và lợi ích hợp pháp của mình. </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Tống đạt văn bản tố tụng dân sự khác với cấp và thông báo văn bản tố tụng dân sự. Tống đạt văn bản tố tụng nhằm buộc chủ thể nhận văn bản phải thực hiện các quyền và nghĩa vụ theo nội dung của văn bản. Trong trường hợp họ từ chối nhận văn bản tố tụng nhưng chủ thể thực hiện tống đạt đã tống đạt hợp lệ thì họ vẫn phải thực hiện theo nội dung văn bản đã tống đạt. Nếu họ không thực hiện theo nội dung văn bản được tống đạt thì cơ quan, người tiến hành tố tụng có căn cứ để thực hiện các hoạt động tố tụng tiếp theo hay ra các quyết định như đình chỉ giải quyết vụ án dân sự, đưa vụ án ra xét xử… Đối với cấp văn bản tố tụng thì việc giao văn bản đến người nhận văn bản không nhằm buộc họ phải thực hiện theo nội dung văn bản mà họ có quyền sử dụng văn bản đó để phục vụ cho mục đích của mình. Còn thông báo văn bản tố tụng thì cơ quan, người tiến hành tố tụng chỉ cần truyền đạt các thông tin trong nội dung văn bản tố tụng đến người nhận để họ biết. Việc thực hiện thông báo tuỳ thuộc vào ý chí chủ quan của người nhận thông báo. Nếu họ không thực hiện theo thông báo thì không chịu bất kỳ hậu quả pháp lý nào. </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Ở Việt Nam, tống đạt văn bản tố tụng dân sự lần đầu tiên được quy định trong Thông tư số 53/TATC ngày 23.06.1977 của Toà án nhân dân tối cao hướng dẫn về thủ tục tống đạt. Theo đó, những văn bản được tống đạt, người thực hiện việc tống đạt, thủ tục tống đạt, các mẫu biên bản tống đạt được quy định cụ thể. Hiện nay, tống đạt văn bản tố tụng dân sự được quy định trong </w:t>
      </w:r>
      <w:proofErr w:type="spellStart"/>
      <w:r w:rsidRPr="00787BF1">
        <w:rPr>
          <w:rFonts w:ascii="Times New Roman" w:hAnsi="Times New Roman"/>
          <w:sz w:val="28"/>
          <w:szCs w:val="28"/>
        </w:rPr>
        <w:t>Bộ</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Tố</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lang w:val="vi-VN"/>
        </w:rPr>
        <w:t xml:space="preserve"> năm 2015. </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Người thực hiện việc TĐTTTDS là người tiến hành tố tụng dân sự, người của cơ quan ban hành văn bản tố tụng, người có chức năng tống đạt (thừa phát lại) và người được giao nhiệm vụ tống đạt (Uỷ ban nhân dân cấp xã nơi chủ thể nhận tống đạt cư trú hoặc cơ quan, tổ chức nơi chủ thể nhận tống đạt làm việc, nhân viên tổ chức dịch vụ bưu chính). </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Văn bản tố tụng dân sự được tống đạt là văn bản do cơ quan, người tiến hành tố tụng dân sự ban hành trong quá trình giải quyết vụ việc dân sự và thi hành án dân sự, trong đó chứa đựng các quy tắc xử sự của các cá nhân, cơ quan, tổ chức có liên quan đến giải quyết vụ việc dân sự và thi hành án dân sự như giấy triệu </w:t>
      </w:r>
      <w:r w:rsidRPr="00787BF1">
        <w:rPr>
          <w:rFonts w:ascii="Times New Roman" w:hAnsi="Times New Roman"/>
          <w:sz w:val="28"/>
          <w:szCs w:val="28"/>
          <w:lang w:val="vi-VN"/>
        </w:rPr>
        <w:lastRenderedPageBreak/>
        <w:t>tập…</w:t>
      </w:r>
    </w:p>
    <w:p w:rsidR="00301255" w:rsidRPr="00787BF1" w:rsidRDefault="00301255" w:rsidP="00301255">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Việc TĐTTTDS </w:t>
      </w:r>
      <w:r w:rsidRPr="00787BF1">
        <w:rPr>
          <w:rFonts w:ascii="Times New Roman" w:hAnsi="Times New Roman"/>
          <w:sz w:val="28"/>
          <w:szCs w:val="28"/>
          <w:lang w:val="en-SG"/>
        </w:rPr>
        <w:t>t</w:t>
      </w:r>
      <w:r w:rsidRPr="00787BF1">
        <w:rPr>
          <w:rFonts w:ascii="Times New Roman" w:hAnsi="Times New Roman"/>
          <w:sz w:val="28"/>
          <w:szCs w:val="28"/>
          <w:lang w:val="vi-VN"/>
        </w:rPr>
        <w:t xml:space="preserve">hực hiện bằng phương thức trực tiếp, qua dịch vụ bưu chính hoặc người thứ ba được uỷ quyền thực hiện việc tống đạt, bằng phương tiện điện tử, niêm yết công khai, thông báo trên phương tiện thông tin đại chúng hoặc bằng các phương thức khác mà pháp luật có quy định. </w:t>
      </w:r>
    </w:p>
    <w:p w:rsidR="00301255" w:rsidRPr="00787BF1" w:rsidRDefault="00301255" w:rsidP="00301255">
      <w:pPr>
        <w:widowControl w:val="0"/>
        <w:shd w:val="clear" w:color="auto" w:fill="FFFFFF"/>
        <w:spacing w:before="120"/>
        <w:ind w:firstLine="284"/>
        <w:jc w:val="both"/>
        <w:rPr>
          <w:szCs w:val="28"/>
        </w:rPr>
      </w:pPr>
      <w:r w:rsidRPr="00787BF1">
        <w:rPr>
          <w:szCs w:val="28"/>
          <w:lang w:val="vi-VN"/>
        </w:rPr>
        <w:t>Tống đạt được coi là hợp lệ khi tống đạt thực hiện bởi các chủ thể có thẩm quyền tống đạt trên cơ sở các phương thức, thủ tục tống đạt do pháp luật quy định.</w:t>
      </w:r>
      <w:r w:rsidRPr="00787BF1">
        <w:rPr>
          <w:szCs w:val="28"/>
        </w:rPr>
        <w:t> </w:t>
      </w:r>
    </w:p>
    <w:p w:rsidR="00301255" w:rsidRPr="00787BF1" w:rsidRDefault="00301255" w:rsidP="00301255">
      <w:pPr>
        <w:spacing w:before="120"/>
        <w:ind w:firstLine="284"/>
        <w:jc w:val="right"/>
        <w:rPr>
          <w:sz w:val="22"/>
        </w:rPr>
      </w:pPr>
      <w:r w:rsidRPr="00787BF1">
        <w:rPr>
          <w:b/>
          <w:bCs/>
          <w:sz w:val="22"/>
        </w:rPr>
        <w:t>NGUYỄN THỊ THU HÀ</w:t>
      </w:r>
    </w:p>
    <w:p w:rsidR="00301255" w:rsidRPr="00787BF1" w:rsidRDefault="00301255" w:rsidP="00301255">
      <w:pPr>
        <w:spacing w:before="120"/>
        <w:ind w:firstLine="284"/>
      </w:pPr>
      <w:proofErr w:type="spellStart"/>
      <w:r w:rsidRPr="00787BF1">
        <w:rPr>
          <w:b/>
          <w:bCs/>
          <w:sz w:val="24"/>
          <w:szCs w:val="24"/>
        </w:rPr>
        <w:t>Tài</w:t>
      </w:r>
      <w:proofErr w:type="spellEnd"/>
      <w:r w:rsidRPr="00787BF1">
        <w:rPr>
          <w:b/>
          <w:bCs/>
          <w:sz w:val="24"/>
          <w:szCs w:val="24"/>
        </w:rPr>
        <w:t xml:space="preserve"> </w:t>
      </w:r>
      <w:proofErr w:type="spellStart"/>
      <w:r w:rsidRPr="00787BF1">
        <w:rPr>
          <w:b/>
          <w:bCs/>
          <w:sz w:val="24"/>
          <w:szCs w:val="24"/>
        </w:rPr>
        <w:t>liệu</w:t>
      </w:r>
      <w:proofErr w:type="spellEnd"/>
      <w:r w:rsidRPr="00787BF1">
        <w:rPr>
          <w:b/>
          <w:bCs/>
          <w:sz w:val="24"/>
          <w:szCs w:val="24"/>
        </w:rPr>
        <w:t xml:space="preserve"> </w:t>
      </w:r>
      <w:proofErr w:type="spellStart"/>
      <w:r w:rsidRPr="00787BF1">
        <w:rPr>
          <w:b/>
          <w:bCs/>
          <w:sz w:val="24"/>
          <w:szCs w:val="24"/>
        </w:rPr>
        <w:t>tham</w:t>
      </w:r>
      <w:proofErr w:type="spellEnd"/>
      <w:r w:rsidRPr="00787BF1">
        <w:rPr>
          <w:b/>
          <w:bCs/>
          <w:sz w:val="24"/>
          <w:szCs w:val="24"/>
        </w:rPr>
        <w:t xml:space="preserve"> </w:t>
      </w:r>
      <w:proofErr w:type="spellStart"/>
      <w:r w:rsidRPr="00787BF1">
        <w:rPr>
          <w:b/>
          <w:bCs/>
          <w:sz w:val="24"/>
          <w:szCs w:val="24"/>
        </w:rPr>
        <w:t>khảo</w:t>
      </w:r>
      <w:proofErr w:type="spellEnd"/>
      <w:r w:rsidRPr="00787BF1">
        <w:rPr>
          <w:b/>
          <w:bCs/>
          <w:sz w:val="24"/>
          <w:szCs w:val="24"/>
        </w:rPr>
        <w:t xml:space="preserve">: </w:t>
      </w:r>
    </w:p>
    <w:p w:rsidR="00301255" w:rsidRPr="00787BF1" w:rsidRDefault="00301255" w:rsidP="00301255">
      <w:pPr>
        <w:numPr>
          <w:ilvl w:val="0"/>
          <w:numId w:val="1"/>
        </w:numPr>
        <w:tabs>
          <w:tab w:val="clear" w:pos="720"/>
          <w:tab w:val="left" w:pos="567"/>
        </w:tabs>
        <w:spacing w:before="120"/>
        <w:ind w:left="0" w:firstLine="284"/>
        <w:jc w:val="both"/>
        <w:textAlignment w:val="baseline"/>
        <w:rPr>
          <w:sz w:val="24"/>
          <w:szCs w:val="24"/>
        </w:rPr>
      </w:pPr>
      <w:proofErr w:type="spellStart"/>
      <w:r w:rsidRPr="00787BF1">
        <w:rPr>
          <w:bCs/>
          <w:sz w:val="24"/>
          <w:szCs w:val="24"/>
        </w:rPr>
        <w:t>Trường</w:t>
      </w:r>
      <w:proofErr w:type="spellEnd"/>
      <w:r w:rsidRPr="00787BF1">
        <w:rPr>
          <w:bCs/>
          <w:sz w:val="24"/>
          <w:szCs w:val="24"/>
        </w:rPr>
        <w:t xml:space="preserve"> </w:t>
      </w:r>
      <w:proofErr w:type="spellStart"/>
      <w:r w:rsidRPr="00787BF1">
        <w:rPr>
          <w:bCs/>
          <w:sz w:val="24"/>
          <w:szCs w:val="24"/>
        </w:rPr>
        <w:t>Đại</w:t>
      </w:r>
      <w:proofErr w:type="spellEnd"/>
      <w:r w:rsidRPr="00787BF1">
        <w:rPr>
          <w:bCs/>
          <w:sz w:val="24"/>
          <w:szCs w:val="24"/>
        </w:rPr>
        <w:t xml:space="preserve"> </w:t>
      </w:r>
      <w:proofErr w:type="spellStart"/>
      <w:r w:rsidRPr="00787BF1">
        <w:rPr>
          <w:bCs/>
          <w:sz w:val="24"/>
          <w:szCs w:val="24"/>
        </w:rPr>
        <w:t>học</w:t>
      </w:r>
      <w:proofErr w:type="spellEnd"/>
      <w:r w:rsidRPr="00787BF1">
        <w:rPr>
          <w:bCs/>
          <w:sz w:val="24"/>
          <w:szCs w:val="24"/>
        </w:rPr>
        <w:t xml:space="preserve"> </w:t>
      </w:r>
      <w:proofErr w:type="spellStart"/>
      <w:r w:rsidRPr="00787BF1">
        <w:rPr>
          <w:bCs/>
          <w:sz w:val="24"/>
          <w:szCs w:val="24"/>
        </w:rPr>
        <w:t>Luật</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w:t>
      </w:r>
      <w:r w:rsidRPr="00787BF1">
        <w:rPr>
          <w:bCs/>
          <w:i/>
          <w:sz w:val="24"/>
          <w:szCs w:val="24"/>
        </w:rPr>
        <w:t xml:space="preserve"> </w:t>
      </w:r>
      <w:proofErr w:type="spellStart"/>
      <w:r w:rsidRPr="00787BF1">
        <w:rPr>
          <w:bCs/>
          <w:i/>
          <w:sz w:val="24"/>
          <w:szCs w:val="24"/>
        </w:rPr>
        <w:t>Giáo</w:t>
      </w:r>
      <w:proofErr w:type="spellEnd"/>
      <w:r w:rsidRPr="00787BF1">
        <w:rPr>
          <w:bCs/>
          <w:i/>
          <w:sz w:val="24"/>
          <w:szCs w:val="24"/>
        </w:rPr>
        <w:t xml:space="preserve"> </w:t>
      </w:r>
      <w:proofErr w:type="spellStart"/>
      <w:r w:rsidRPr="00787BF1">
        <w:rPr>
          <w:bCs/>
          <w:i/>
          <w:sz w:val="24"/>
          <w:szCs w:val="24"/>
        </w:rPr>
        <w:t>trình</w:t>
      </w:r>
      <w:proofErr w:type="spellEnd"/>
      <w:r w:rsidRPr="00787BF1">
        <w:rPr>
          <w:bCs/>
          <w:i/>
          <w:sz w:val="24"/>
          <w:szCs w:val="24"/>
        </w:rPr>
        <w:t xml:space="preserve"> </w:t>
      </w:r>
      <w:proofErr w:type="spellStart"/>
      <w:r w:rsidRPr="00787BF1">
        <w:rPr>
          <w:bCs/>
          <w:i/>
          <w:sz w:val="24"/>
          <w:szCs w:val="24"/>
        </w:rPr>
        <w:t>Luật</w:t>
      </w:r>
      <w:proofErr w:type="spellEnd"/>
      <w:r w:rsidRPr="00787BF1">
        <w:rPr>
          <w:bCs/>
          <w:i/>
          <w:sz w:val="24"/>
          <w:szCs w:val="24"/>
        </w:rPr>
        <w:t xml:space="preserve"> </w:t>
      </w:r>
      <w:proofErr w:type="spellStart"/>
      <w:r w:rsidRPr="00787BF1">
        <w:rPr>
          <w:bCs/>
          <w:i/>
          <w:sz w:val="24"/>
          <w:szCs w:val="24"/>
        </w:rPr>
        <w:t>Tố</w:t>
      </w:r>
      <w:proofErr w:type="spellEnd"/>
      <w:r w:rsidRPr="00787BF1">
        <w:rPr>
          <w:bCs/>
          <w:i/>
          <w:sz w:val="24"/>
          <w:szCs w:val="24"/>
          <w:lang w:val="vi-VN"/>
        </w:rPr>
        <w:t xml:space="preserve"> tụng dân sự Việt Nam</w:t>
      </w:r>
      <w:r w:rsidRPr="00787BF1">
        <w:rPr>
          <w:bCs/>
          <w:sz w:val="24"/>
          <w:szCs w:val="24"/>
        </w:rPr>
        <w:t xml:space="preserve">, </w:t>
      </w:r>
      <w:proofErr w:type="spellStart"/>
      <w:r>
        <w:rPr>
          <w:bCs/>
          <w:sz w:val="24"/>
          <w:szCs w:val="24"/>
        </w:rPr>
        <w:t>Nxb</w:t>
      </w:r>
      <w:proofErr w:type="spellEnd"/>
      <w:r>
        <w:rPr>
          <w:bCs/>
          <w:sz w:val="24"/>
          <w:szCs w:val="24"/>
        </w:rPr>
        <w:t xml:space="preserve">. </w:t>
      </w:r>
      <w:proofErr w:type="spellStart"/>
      <w:r>
        <w:rPr>
          <w:bCs/>
          <w:sz w:val="24"/>
          <w:szCs w:val="24"/>
        </w:rPr>
        <w:t>Công</w:t>
      </w:r>
      <w:proofErr w:type="spellEnd"/>
      <w:r>
        <w:rPr>
          <w:bCs/>
          <w:sz w:val="24"/>
          <w:szCs w:val="24"/>
        </w:rPr>
        <w:t xml:space="preserve"> an </w:t>
      </w:r>
      <w:proofErr w:type="spellStart"/>
      <w:r>
        <w:rPr>
          <w:bCs/>
          <w:sz w:val="24"/>
          <w:szCs w:val="24"/>
        </w:rPr>
        <w:t>nhân</w:t>
      </w:r>
      <w:proofErr w:type="spellEnd"/>
      <w:r>
        <w:rPr>
          <w:bCs/>
          <w:sz w:val="24"/>
          <w:szCs w:val="24"/>
        </w:rPr>
        <w:t xml:space="preserve"> </w:t>
      </w:r>
      <w:proofErr w:type="spellStart"/>
      <w:r>
        <w:rPr>
          <w:bCs/>
          <w:sz w:val="24"/>
          <w:szCs w:val="24"/>
        </w:rPr>
        <w:t>dân</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 201</w:t>
      </w:r>
      <w:r w:rsidRPr="00787BF1">
        <w:rPr>
          <w:bCs/>
          <w:sz w:val="24"/>
          <w:szCs w:val="24"/>
          <w:lang w:val="vi-VN"/>
        </w:rPr>
        <w:t>9.</w:t>
      </w:r>
    </w:p>
    <w:p w:rsidR="00301255" w:rsidRPr="00787BF1" w:rsidRDefault="00301255" w:rsidP="00301255">
      <w:pPr>
        <w:numPr>
          <w:ilvl w:val="0"/>
          <w:numId w:val="1"/>
        </w:numPr>
        <w:tabs>
          <w:tab w:val="clear" w:pos="720"/>
          <w:tab w:val="left" w:pos="567"/>
        </w:tabs>
        <w:spacing w:before="120"/>
        <w:ind w:left="0" w:firstLine="284"/>
        <w:jc w:val="both"/>
        <w:textAlignment w:val="baseline"/>
        <w:rPr>
          <w:rFonts w:eastAsia="Times New Roman"/>
          <w:sz w:val="24"/>
          <w:szCs w:val="24"/>
        </w:rPr>
      </w:pPr>
      <w:proofErr w:type="spellStart"/>
      <w:r w:rsidRPr="00787BF1">
        <w:rPr>
          <w:sz w:val="24"/>
          <w:szCs w:val="24"/>
        </w:rPr>
        <w:t>Khoa</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i/>
          <w:sz w:val="24"/>
          <w:szCs w:val="24"/>
        </w:rPr>
        <w:t>Giáo</w:t>
      </w:r>
      <w:proofErr w:type="spellEnd"/>
      <w:r w:rsidRPr="00787BF1">
        <w:rPr>
          <w:i/>
          <w:sz w:val="24"/>
          <w:szCs w:val="24"/>
        </w:rPr>
        <w:t xml:space="preserve"> </w:t>
      </w:r>
      <w:r w:rsidRPr="00787BF1">
        <w:rPr>
          <w:i/>
          <w:sz w:val="24"/>
          <w:szCs w:val="24"/>
          <w:lang w:val="vi-VN"/>
        </w:rPr>
        <w:t>t</w:t>
      </w:r>
      <w:proofErr w:type="spellStart"/>
      <w:r w:rsidRPr="00787BF1">
        <w:rPr>
          <w:i/>
          <w:sz w:val="24"/>
          <w:szCs w:val="24"/>
        </w:rPr>
        <w: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Tố</w:t>
      </w:r>
      <w:proofErr w:type="spellEnd"/>
      <w:r w:rsidRPr="00787BF1">
        <w:rPr>
          <w:i/>
          <w:sz w:val="24"/>
          <w:szCs w:val="24"/>
          <w:lang w:val="vi-VN"/>
        </w:rPr>
        <w:t xml:space="preserve"> tụng dân sự</w:t>
      </w:r>
      <w:r w:rsidRPr="00787BF1">
        <w:rPr>
          <w:i/>
          <w:sz w:val="24"/>
          <w:szCs w:val="24"/>
        </w:rPr>
        <w:t xml:space="preserve"> </w:t>
      </w:r>
      <w:proofErr w:type="spellStart"/>
      <w:r w:rsidRPr="00787BF1">
        <w:rPr>
          <w:i/>
          <w:sz w:val="24"/>
          <w:szCs w:val="24"/>
        </w:rPr>
        <w:t>Việt</w:t>
      </w:r>
      <w:proofErr w:type="spellEnd"/>
      <w:r w:rsidRPr="00787BF1">
        <w:rPr>
          <w:i/>
          <w:sz w:val="24"/>
          <w:szCs w:val="24"/>
        </w:rPr>
        <w:t xml:space="preserve"> Nam</w:t>
      </w:r>
      <w:r w:rsidRPr="00787BF1">
        <w:rPr>
          <w:sz w:val="24"/>
          <w:szCs w:val="24"/>
        </w:rPr>
        <w:t xml:space="preserve">, </w:t>
      </w:r>
      <w:proofErr w:type="spellStart"/>
      <w:r w:rsidRPr="00787BF1">
        <w:rPr>
          <w:sz w:val="24"/>
          <w:szCs w:val="24"/>
        </w:rPr>
        <w:t>Nxb</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Quốc</w:t>
      </w:r>
      <w:proofErr w:type="spellEnd"/>
      <w:r w:rsidRPr="00787BF1">
        <w:rPr>
          <w:sz w:val="24"/>
          <w:szCs w:val="24"/>
        </w:rPr>
        <w:t xml:space="preserve"> </w:t>
      </w:r>
      <w:proofErr w:type="spellStart"/>
      <w:r w:rsidRPr="00787BF1">
        <w:rPr>
          <w:sz w:val="24"/>
          <w:szCs w:val="24"/>
        </w:rPr>
        <w:t>gia</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w:t>
      </w:r>
      <w:r w:rsidRPr="00787BF1">
        <w:rPr>
          <w:sz w:val="24"/>
          <w:szCs w:val="24"/>
          <w:lang w:val="vi-VN"/>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r w:rsidRPr="00787BF1">
        <w:rPr>
          <w:sz w:val="24"/>
          <w:szCs w:val="24"/>
          <w:lang w:val="vi-VN"/>
        </w:rPr>
        <w:t>2014.</w:t>
      </w:r>
    </w:p>
    <w:p w:rsidR="00301255" w:rsidRPr="00787BF1" w:rsidRDefault="00301255" w:rsidP="00301255">
      <w:pPr>
        <w:numPr>
          <w:ilvl w:val="0"/>
          <w:numId w:val="1"/>
        </w:numPr>
        <w:tabs>
          <w:tab w:val="clear" w:pos="720"/>
          <w:tab w:val="left" w:pos="567"/>
        </w:tabs>
        <w:spacing w:before="120"/>
        <w:ind w:left="0" w:firstLine="284"/>
        <w:jc w:val="both"/>
        <w:textAlignment w:val="baseline"/>
        <w:rPr>
          <w:sz w:val="24"/>
          <w:szCs w:val="24"/>
        </w:rPr>
      </w:pPr>
      <w:r w:rsidRPr="00787BF1">
        <w:rPr>
          <w:bCs/>
          <w:sz w:val="24"/>
          <w:szCs w:val="24"/>
        </w:rPr>
        <w:t xml:space="preserve">Wolfgang </w:t>
      </w:r>
      <w:proofErr w:type="spellStart"/>
      <w:r w:rsidRPr="00787BF1">
        <w:rPr>
          <w:bCs/>
          <w:sz w:val="24"/>
          <w:szCs w:val="24"/>
        </w:rPr>
        <w:t>Benedek</w:t>
      </w:r>
      <w:proofErr w:type="spellEnd"/>
      <w:r w:rsidRPr="00787BF1">
        <w:rPr>
          <w:bCs/>
          <w:sz w:val="24"/>
          <w:szCs w:val="24"/>
        </w:rPr>
        <w:t xml:space="preserve"> </w:t>
      </w:r>
      <w:r>
        <w:rPr>
          <w:bCs/>
          <w:sz w:val="24"/>
          <w:szCs w:val="24"/>
        </w:rPr>
        <w:t>(</w:t>
      </w:r>
      <w:proofErr w:type="spellStart"/>
      <w:r>
        <w:rPr>
          <w:bCs/>
          <w:sz w:val="24"/>
          <w:szCs w:val="24"/>
        </w:rPr>
        <w:t>chủ</w:t>
      </w:r>
      <w:proofErr w:type="spellEnd"/>
      <w:r>
        <w:rPr>
          <w:bCs/>
          <w:sz w:val="24"/>
          <w:szCs w:val="24"/>
        </w:rPr>
        <w:t xml:space="preserve"> </w:t>
      </w:r>
      <w:proofErr w:type="spellStart"/>
      <w:r>
        <w:rPr>
          <w:bCs/>
          <w:sz w:val="24"/>
          <w:szCs w:val="24"/>
        </w:rPr>
        <w:t>biên</w:t>
      </w:r>
      <w:proofErr w:type="spellEnd"/>
      <w:r>
        <w:rPr>
          <w:bCs/>
          <w:sz w:val="24"/>
          <w:szCs w:val="24"/>
        </w:rPr>
        <w:t>)</w:t>
      </w:r>
      <w:r w:rsidRPr="00787BF1">
        <w:rPr>
          <w:bCs/>
          <w:sz w:val="24"/>
          <w:szCs w:val="24"/>
        </w:rPr>
        <w:t xml:space="preserve">, </w:t>
      </w:r>
      <w:proofErr w:type="spellStart"/>
      <w:r w:rsidRPr="00787BF1">
        <w:rPr>
          <w:bCs/>
          <w:i/>
          <w:sz w:val="24"/>
          <w:szCs w:val="24"/>
        </w:rPr>
        <w:t>Tìm</w:t>
      </w:r>
      <w:proofErr w:type="spellEnd"/>
      <w:r w:rsidRPr="00787BF1">
        <w:rPr>
          <w:bCs/>
          <w:i/>
          <w:sz w:val="24"/>
          <w:szCs w:val="24"/>
        </w:rPr>
        <w:t xml:space="preserve"> </w:t>
      </w:r>
      <w:proofErr w:type="spellStart"/>
      <w:r w:rsidRPr="00787BF1">
        <w:rPr>
          <w:bCs/>
          <w:i/>
          <w:sz w:val="24"/>
          <w:szCs w:val="24"/>
        </w:rPr>
        <w:t>hiểu</w:t>
      </w:r>
      <w:proofErr w:type="spellEnd"/>
      <w:r w:rsidRPr="00787BF1">
        <w:rPr>
          <w:bCs/>
          <w:i/>
          <w:sz w:val="24"/>
          <w:szCs w:val="24"/>
        </w:rPr>
        <w:t xml:space="preserve"> </w:t>
      </w:r>
      <w:proofErr w:type="spellStart"/>
      <w:r w:rsidRPr="00787BF1">
        <w:rPr>
          <w:bCs/>
          <w:i/>
          <w:sz w:val="24"/>
          <w:szCs w:val="24"/>
        </w:rPr>
        <w:t>về</w:t>
      </w:r>
      <w:proofErr w:type="spellEnd"/>
      <w:r w:rsidRPr="00787BF1">
        <w:rPr>
          <w:bCs/>
          <w:i/>
          <w:sz w:val="24"/>
          <w:szCs w:val="24"/>
        </w:rPr>
        <w:t xml:space="preserve"> </w:t>
      </w:r>
      <w:proofErr w:type="spellStart"/>
      <w:r w:rsidRPr="00787BF1">
        <w:rPr>
          <w:bCs/>
          <w:i/>
          <w:sz w:val="24"/>
          <w:szCs w:val="24"/>
        </w:rPr>
        <w:t>quyền</w:t>
      </w:r>
      <w:proofErr w:type="spellEnd"/>
      <w:r w:rsidRPr="00787BF1">
        <w:rPr>
          <w:bCs/>
          <w:i/>
          <w:sz w:val="24"/>
          <w:szCs w:val="24"/>
        </w:rPr>
        <w:t xml:space="preserve"> con </w:t>
      </w:r>
      <w:proofErr w:type="spellStart"/>
      <w:r w:rsidRPr="00787BF1">
        <w:rPr>
          <w:bCs/>
          <w:i/>
          <w:sz w:val="24"/>
          <w:szCs w:val="24"/>
        </w:rPr>
        <w:t>người</w:t>
      </w:r>
      <w:proofErr w:type="spellEnd"/>
      <w:r w:rsidRPr="00787BF1">
        <w:rPr>
          <w:bCs/>
          <w:sz w:val="24"/>
          <w:szCs w:val="24"/>
        </w:rPr>
        <w:t xml:space="preserve"> (</w:t>
      </w:r>
      <w:proofErr w:type="spellStart"/>
      <w:r w:rsidRPr="00787BF1">
        <w:rPr>
          <w:bCs/>
          <w:sz w:val="24"/>
          <w:szCs w:val="24"/>
        </w:rPr>
        <w:t>Tài</w:t>
      </w:r>
      <w:proofErr w:type="spellEnd"/>
      <w:r w:rsidRPr="00787BF1">
        <w:rPr>
          <w:bCs/>
          <w:sz w:val="24"/>
          <w:szCs w:val="24"/>
        </w:rPr>
        <w:t xml:space="preserve"> </w:t>
      </w:r>
      <w:proofErr w:type="spellStart"/>
      <w:r w:rsidRPr="00787BF1">
        <w:rPr>
          <w:bCs/>
          <w:sz w:val="24"/>
          <w:szCs w:val="24"/>
        </w:rPr>
        <w:t>liệu</w:t>
      </w:r>
      <w:proofErr w:type="spellEnd"/>
      <w:r w:rsidRPr="00787BF1">
        <w:rPr>
          <w:bCs/>
          <w:sz w:val="24"/>
          <w:szCs w:val="24"/>
        </w:rPr>
        <w:t xml:space="preserve"> </w:t>
      </w:r>
      <w:proofErr w:type="spellStart"/>
      <w:r w:rsidRPr="00787BF1">
        <w:rPr>
          <w:bCs/>
          <w:sz w:val="24"/>
          <w:szCs w:val="24"/>
        </w:rPr>
        <w:t>hướng</w:t>
      </w:r>
      <w:proofErr w:type="spellEnd"/>
      <w:r w:rsidRPr="00787BF1">
        <w:rPr>
          <w:bCs/>
          <w:sz w:val="24"/>
          <w:szCs w:val="24"/>
        </w:rPr>
        <w:t xml:space="preserve"> </w:t>
      </w:r>
      <w:proofErr w:type="spellStart"/>
      <w:r w:rsidRPr="00787BF1">
        <w:rPr>
          <w:bCs/>
          <w:sz w:val="24"/>
          <w:szCs w:val="24"/>
        </w:rPr>
        <w:t>dẫn</w:t>
      </w:r>
      <w:proofErr w:type="spellEnd"/>
      <w:r w:rsidRPr="00787BF1">
        <w:rPr>
          <w:bCs/>
          <w:sz w:val="24"/>
          <w:szCs w:val="24"/>
        </w:rPr>
        <w:t xml:space="preserve"> </w:t>
      </w:r>
      <w:proofErr w:type="spellStart"/>
      <w:r w:rsidRPr="00787BF1">
        <w:rPr>
          <w:bCs/>
          <w:sz w:val="24"/>
          <w:szCs w:val="24"/>
        </w:rPr>
        <w:t>về</w:t>
      </w:r>
      <w:proofErr w:type="spellEnd"/>
      <w:r w:rsidRPr="00787BF1">
        <w:rPr>
          <w:bCs/>
          <w:sz w:val="24"/>
          <w:szCs w:val="24"/>
        </w:rPr>
        <w:t xml:space="preserve"> </w:t>
      </w:r>
      <w:proofErr w:type="spellStart"/>
      <w:r w:rsidRPr="00787BF1">
        <w:rPr>
          <w:bCs/>
          <w:sz w:val="24"/>
          <w:szCs w:val="24"/>
        </w:rPr>
        <w:t>giáo</w:t>
      </w:r>
      <w:proofErr w:type="spellEnd"/>
      <w:r w:rsidRPr="00787BF1">
        <w:rPr>
          <w:bCs/>
          <w:sz w:val="24"/>
          <w:szCs w:val="24"/>
        </w:rPr>
        <w:t xml:space="preserve"> </w:t>
      </w:r>
      <w:proofErr w:type="spellStart"/>
      <w:r w:rsidRPr="00787BF1">
        <w:rPr>
          <w:bCs/>
          <w:sz w:val="24"/>
          <w:szCs w:val="24"/>
        </w:rPr>
        <w:t>dục</w:t>
      </w:r>
      <w:proofErr w:type="spellEnd"/>
      <w:r w:rsidRPr="00787BF1">
        <w:rPr>
          <w:bCs/>
          <w:sz w:val="24"/>
          <w:szCs w:val="24"/>
        </w:rPr>
        <w:t xml:space="preserve"> </w:t>
      </w:r>
      <w:proofErr w:type="spellStart"/>
      <w:r w:rsidRPr="00787BF1">
        <w:rPr>
          <w:bCs/>
          <w:sz w:val="24"/>
          <w:szCs w:val="24"/>
        </w:rPr>
        <w:t>quyền</w:t>
      </w:r>
      <w:proofErr w:type="spellEnd"/>
      <w:r w:rsidRPr="00787BF1">
        <w:rPr>
          <w:bCs/>
          <w:sz w:val="24"/>
          <w:szCs w:val="24"/>
        </w:rPr>
        <w:t xml:space="preserve"> con </w:t>
      </w:r>
      <w:proofErr w:type="spellStart"/>
      <w:r w:rsidRPr="00787BF1">
        <w:rPr>
          <w:bCs/>
          <w:sz w:val="24"/>
          <w:szCs w:val="24"/>
        </w:rPr>
        <w:t>người</w:t>
      </w:r>
      <w:proofErr w:type="spellEnd"/>
      <w:r w:rsidRPr="00787BF1">
        <w:rPr>
          <w:bCs/>
          <w:sz w:val="24"/>
          <w:szCs w:val="24"/>
        </w:rPr>
        <w:t xml:space="preserve">), </w:t>
      </w:r>
      <w:proofErr w:type="spellStart"/>
      <w:r w:rsidRPr="00787BF1">
        <w:rPr>
          <w:bCs/>
          <w:sz w:val="24"/>
          <w:szCs w:val="24"/>
        </w:rPr>
        <w:t>Nxb</w:t>
      </w:r>
      <w:proofErr w:type="spellEnd"/>
      <w:r w:rsidRPr="00787BF1">
        <w:rPr>
          <w:bCs/>
          <w:sz w:val="24"/>
          <w:szCs w:val="24"/>
        </w:rPr>
        <w:t xml:space="preserve">. </w:t>
      </w:r>
      <w:proofErr w:type="spellStart"/>
      <w:r w:rsidRPr="00787BF1">
        <w:rPr>
          <w:bCs/>
          <w:sz w:val="24"/>
          <w:szCs w:val="24"/>
        </w:rPr>
        <w:t>Tư</w:t>
      </w:r>
      <w:proofErr w:type="spellEnd"/>
      <w:r w:rsidRPr="00787BF1">
        <w:rPr>
          <w:bCs/>
          <w:sz w:val="24"/>
          <w:szCs w:val="24"/>
        </w:rPr>
        <w:t xml:space="preserve"> </w:t>
      </w:r>
      <w:proofErr w:type="spellStart"/>
      <w:r w:rsidRPr="00787BF1">
        <w:rPr>
          <w:bCs/>
          <w:sz w:val="24"/>
          <w:szCs w:val="24"/>
        </w:rPr>
        <w:t>pháp</w:t>
      </w:r>
      <w:proofErr w:type="spellEnd"/>
      <w:r w:rsidRPr="00787BF1">
        <w:rPr>
          <w:bCs/>
          <w:sz w:val="24"/>
          <w:szCs w:val="24"/>
        </w:rPr>
        <w:t xml:space="preserve">, </w:t>
      </w:r>
      <w:proofErr w:type="spellStart"/>
      <w:r w:rsidRPr="00787BF1">
        <w:rPr>
          <w:bCs/>
          <w:sz w:val="24"/>
          <w:szCs w:val="24"/>
        </w:rPr>
        <w:t>Hà</w:t>
      </w:r>
      <w:proofErr w:type="spellEnd"/>
      <w:r w:rsidRPr="00787BF1">
        <w:rPr>
          <w:bCs/>
          <w:sz w:val="24"/>
          <w:szCs w:val="24"/>
        </w:rPr>
        <w:t xml:space="preserve"> </w:t>
      </w:r>
      <w:proofErr w:type="spellStart"/>
      <w:r w:rsidRPr="00787BF1">
        <w:rPr>
          <w:bCs/>
          <w:sz w:val="24"/>
          <w:szCs w:val="24"/>
        </w:rPr>
        <w:t>Nội</w:t>
      </w:r>
      <w:proofErr w:type="spellEnd"/>
      <w:r w:rsidRPr="00787BF1">
        <w:rPr>
          <w:bCs/>
          <w:sz w:val="24"/>
          <w:szCs w:val="24"/>
        </w:rPr>
        <w:t>, 2008.</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9784B"/>
    <w:multiLevelType w:val="multilevel"/>
    <w:tmpl w:val="4E4A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55"/>
    <w:rsid w:val="001324E1"/>
    <w:rsid w:val="00301255"/>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95E1-41C8-4D71-90BD-ECE1928A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255"/>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301255"/>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301255"/>
    <w:rPr>
      <w:rFonts w:eastAsia="Calibri"/>
      <w:b w:val="0"/>
      <w:iCs/>
    </w:rPr>
  </w:style>
  <w:style w:type="paragraph" w:styleId="BodyTextIndent">
    <w:name w:val="Body Text Indent"/>
    <w:basedOn w:val="Normal"/>
    <w:link w:val="BodyTextIndentChar"/>
    <w:rsid w:val="00301255"/>
    <w:pPr>
      <w:spacing w:line="322" w:lineRule="exact"/>
      <w:ind w:firstLine="720"/>
      <w:jc w:val="both"/>
    </w:pPr>
    <w:rPr>
      <w:rFonts w:ascii=".VnTime" w:eastAsia="Times New Roman" w:hAnsi=".VnTime"/>
      <w:sz w:val="26"/>
      <w:szCs w:val="24"/>
      <w:u w:color="000000"/>
    </w:rPr>
  </w:style>
  <w:style w:type="character" w:customStyle="1" w:styleId="BodyTextIndentChar">
    <w:name w:val="Body Text Indent Char"/>
    <w:basedOn w:val="DefaultParagraphFont"/>
    <w:link w:val="BodyTextIndent"/>
    <w:rsid w:val="00301255"/>
    <w:rPr>
      <w:rFonts w:ascii=".VnTime" w:eastAsia="Times New Roman" w:hAnsi=".VnTime"/>
      <w:b w:val="0"/>
      <w:sz w:val="26"/>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2025-12-15T04:53:00Z</dcterms:created>
  <dcterms:modified xsi:type="dcterms:W3CDTF">2025-12-15T04:53:00Z</dcterms:modified>
</cp:coreProperties>
</file>